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508" w:rsidRDefault="00916815">
      <w:pPr>
        <w:spacing w:after="60"/>
        <w:jc w:val="center"/>
      </w:pPr>
      <w:r>
        <w:rPr>
          <w:b/>
          <w:bCs/>
          <w:sz w:val="26"/>
          <w:szCs w:val="26"/>
        </w:rPr>
        <w:t>PROYECTO DE ORDENANZA</w:t>
      </w:r>
    </w:p>
    <w:p w:rsidR="008D7508" w:rsidRDefault="00916815">
      <w:pPr>
        <w:spacing w:before="60" w:after="240"/>
        <w:jc w:val="center"/>
      </w:pPr>
      <w:r>
        <w:rPr>
          <w:b/>
          <w:bCs/>
        </w:rPr>
        <w:t>RÉGIMEN DE INTEGRIDAD, TRANSPARENCIA E IDONEIDAD PARA EL ACCESO Y PERMANENCIA EN LA FUNCIÓN PÚBLICA MUNICIPAL</w:t>
      </w:r>
    </w:p>
    <w:p w:rsidR="008D7508" w:rsidRDefault="00916815">
      <w:pPr>
        <w:spacing w:after="60" w:line="276" w:lineRule="auto"/>
        <w:jc w:val="both"/>
      </w:pPr>
      <w:r>
        <w:rPr>
          <w:b/>
          <w:bCs/>
        </w:rPr>
        <w:t>VISTO:</w:t>
      </w:r>
    </w:p>
    <w:p w:rsidR="008D7508" w:rsidRDefault="00916815">
      <w:pPr>
        <w:spacing w:after="180" w:line="276" w:lineRule="auto"/>
        <w:ind w:firstLine="567"/>
        <w:jc w:val="both"/>
      </w:pPr>
      <w:r>
        <w:t>La necesidad de fortalecer la transparencia institucional, la ética pública, la confianza de los ciudadanos en las instituciones democráticas y la idoneidad de quienes ejercen funciones públicas en el ámbito del Partido de Ramallo; y</w:t>
      </w:r>
    </w:p>
    <w:p w:rsidR="008D7508" w:rsidRDefault="00916815">
      <w:pPr>
        <w:spacing w:after="120" w:line="276" w:lineRule="auto"/>
        <w:jc w:val="both"/>
      </w:pPr>
      <w:r>
        <w:rPr>
          <w:b/>
          <w:bCs/>
        </w:rPr>
        <w:t>CONSIDERANDO:</w:t>
      </w:r>
    </w:p>
    <w:p w:rsidR="008D7508" w:rsidRDefault="00916815">
      <w:pPr>
        <w:spacing w:after="120" w:line="276" w:lineRule="auto"/>
        <w:ind w:firstLine="567"/>
        <w:jc w:val="both"/>
      </w:pPr>
      <w:r>
        <w:t>Que la C</w:t>
      </w:r>
      <w:r>
        <w:t>onstitución Nacional establece en su artículo 16 que todos los habitantes son admisibles en los empleos públicos sin otra condición que la idoneidad.</w:t>
      </w:r>
    </w:p>
    <w:p w:rsidR="008D7508" w:rsidRDefault="00916815">
      <w:pPr>
        <w:spacing w:after="120" w:line="276" w:lineRule="auto"/>
        <w:ind w:firstLine="567"/>
        <w:jc w:val="both"/>
      </w:pPr>
      <w:r>
        <w:t xml:space="preserve">Que el ejercicio de la función pública no constituye un privilegio personal, sino un servicio destinado a </w:t>
      </w:r>
      <w:r>
        <w:t>satisfacer el interés general y debe desarrollarse con honestidad, integridad, transparencia y respeto por los principios republicanos.</w:t>
      </w:r>
    </w:p>
    <w:p w:rsidR="008D7508" w:rsidRDefault="00916815">
      <w:pPr>
        <w:spacing w:after="120" w:line="276" w:lineRule="auto"/>
        <w:ind w:firstLine="567"/>
        <w:jc w:val="both"/>
      </w:pPr>
      <w:r>
        <w:t>Que la sociedad demanda estándares cada vez más elevados de transparencia y responsabilidad en quienes administran recur</w:t>
      </w:r>
      <w:r>
        <w:t>sos públicos y toman decisiones que afectan a la comunidad.</w:t>
      </w:r>
    </w:p>
    <w:p w:rsidR="008D7508" w:rsidRDefault="00916815">
      <w:pPr>
        <w:spacing w:after="120" w:line="276" w:lineRule="auto"/>
        <w:ind w:firstLine="567"/>
        <w:jc w:val="both"/>
      </w:pPr>
      <w:r>
        <w:t>Que la confianza ciudadana en las instituciones democráticas se fortalece cuando quienes ejercen cargos públicos, sin distinción de su origen electivo o de designación, asumen compromisos concreto</w:t>
      </w:r>
      <w:r>
        <w:t>s de transparencia compatibles con la responsabilidad que ostentan.</w:t>
      </w:r>
    </w:p>
    <w:p w:rsidR="008D7508" w:rsidRDefault="00916815">
      <w:pPr>
        <w:spacing w:after="120" w:line="276" w:lineRule="auto"/>
        <w:ind w:firstLine="567"/>
        <w:jc w:val="both"/>
      </w:pPr>
      <w:r>
        <w:t>Que la legitimidad del ejercicio del poder no depende únicamente del resultado electoral o del acto de designación, sino también de la confianza que la ciudadanía deposita en quienes admin</w:t>
      </w:r>
      <w:r>
        <w:t>istran recursos públicos y adoptan decisiones que afectan el interés general.</w:t>
      </w:r>
    </w:p>
    <w:p w:rsidR="008D7508" w:rsidRDefault="00916815">
      <w:pPr>
        <w:spacing w:after="120" w:line="276" w:lineRule="auto"/>
        <w:ind w:firstLine="567"/>
        <w:jc w:val="both"/>
      </w:pPr>
      <w:r>
        <w:t xml:space="preserve">Que numerosos proyectos legislativos y antecedentes normativos nacionales, provinciales y municipales han impulsado el denominado régimen de FICHA LIMPIA, destinado a impedir el </w:t>
      </w:r>
      <w:r>
        <w:t>acceso y permanencia en cargos públicos de personas con condena por delitos de especial gravedad, como una herramienta dentro de una política más amplia de integridad pública.</w:t>
      </w:r>
    </w:p>
    <w:p w:rsidR="008D7508" w:rsidRDefault="00916815">
      <w:pPr>
        <w:spacing w:after="120" w:line="276" w:lineRule="auto"/>
        <w:ind w:firstLine="567"/>
        <w:jc w:val="both"/>
      </w:pPr>
      <w:r>
        <w:t xml:space="preserve">Que corresponde al Municipio promover mecanismos de transparencia institucional </w:t>
      </w:r>
      <w:r>
        <w:t>dentro del marco de sus competencias y en armonía con los principios constitucionales y con las modernas políticas de prevención de la corrupción, abarcando tanto la integridad de antecedentes como la publicidad de los actos de gobierno, la prevención de c</w:t>
      </w:r>
      <w:r>
        <w:t>onflictos de intereses y el acceso a la información pública.</w:t>
      </w:r>
    </w:p>
    <w:p w:rsidR="008D7508" w:rsidRDefault="00916815">
      <w:pPr>
        <w:spacing w:after="120" w:line="276" w:lineRule="auto"/>
        <w:ind w:firstLine="567"/>
        <w:jc w:val="both"/>
      </w:pPr>
      <w:r>
        <w:t xml:space="preserve">Que el presente proyecto no tiene naturaleza penal, ni pretende establecer una sanción adicional a las previstas por el ordenamiento jurídico, ni alterar los requisitos de </w:t>
      </w:r>
      <w:r>
        <w:lastRenderedPageBreak/>
        <w:t>elegibilidad de los car</w:t>
      </w:r>
      <w:r>
        <w:t>gos electivos previstos por la Constitución Nacional, la Constitución de la Provincia de Buenos Aires y la legislación electoral; siendo su única finalidad regular condiciones de acceso y permanencia en determinados cargos públicos municipales de designaci</w:t>
      </w:r>
      <w:r>
        <w:t>ón, y promover compromisos de transparencia para la totalidad de los funcionarios municipales, respetando en todos los casos el debido proceso, el derecho de defensa y las garantías constitucionales.</w:t>
      </w:r>
    </w:p>
    <w:p w:rsidR="008D7508" w:rsidRDefault="00916815">
      <w:pPr>
        <w:spacing w:after="120" w:line="276" w:lineRule="auto"/>
        <w:ind w:firstLine="567"/>
        <w:jc w:val="both"/>
      </w:pPr>
      <w:r>
        <w:t xml:space="preserve">Que resulta conveniente que el Departamento Ejecutivo y </w:t>
      </w:r>
      <w:r>
        <w:t>Legislativo Municipal, a través de sus representantes, adhieran voluntariamente a los principios de transparencia e integridad aquí establecidos, como expresión de un compromiso institucional que trascienda lo estrictamente exigible y refuerce la legitimid</w:t>
      </w:r>
      <w:r>
        <w:t>ad de todo el sistema.</w:t>
      </w:r>
    </w:p>
    <w:p w:rsidR="008D7508" w:rsidRDefault="00916815">
      <w:pPr>
        <w:spacing w:after="120" w:line="276" w:lineRule="auto"/>
        <w:ind w:firstLine="567"/>
        <w:jc w:val="both"/>
      </w:pPr>
      <w:r>
        <w:t>Que el Partido de Ramallo cuenta con la Ordenanza N° 7256/25 sobre Acceso a la Información Pública y Transparencia Activa, que consagra el principio de libre publicidad de los actos de gobierno, garantiza a toda persona el derecho de</w:t>
      </w:r>
      <w:r>
        <w:t xml:space="preserve"> acceder a la información en poder de la Administración Pública Municipal y sus organismos centralizados y descentralizados, y crea el Portal Electrónico de Información al Ciudadano y el programa de Publicidad Activa; resultando conveniente que el presente</w:t>
      </w:r>
      <w:r>
        <w:t xml:space="preserve"> régimen se articule e integre con dicha normativa, de modo que las obligaciones de publicidad de actos, acceso a la información y transparencia activa aquí previstas se cumplan a través de los mecanismos, plazos y canales establecidos por aquella, evitand</w:t>
      </w:r>
      <w:r>
        <w:t>o duplicaciones y fortaleciendo la coherencia del sistema municipal de integridad y transparencia.</w:t>
      </w:r>
    </w:p>
    <w:p w:rsidR="008D7508" w:rsidRDefault="00916815">
      <w:pPr>
        <w:spacing w:after="120" w:line="276" w:lineRule="auto"/>
        <w:ind w:firstLine="567"/>
        <w:jc w:val="both"/>
      </w:pPr>
      <w:r>
        <w:t>Qué, asimismo, su interpretación y aplicación deberán realizarse de manera compatible con la Constitución Nacional, la Constitución de la Provincia de Buenos</w:t>
      </w:r>
      <w:r>
        <w:t xml:space="preserve"> Aires y la legislación vigente.</w:t>
      </w:r>
    </w:p>
    <w:p w:rsidR="008D7508" w:rsidRDefault="00916815">
      <w:pPr>
        <w:spacing w:before="120" w:after="60" w:line="276" w:lineRule="auto"/>
        <w:jc w:val="both"/>
      </w:pPr>
      <w:r>
        <w:rPr>
          <w:b/>
          <w:bCs/>
        </w:rPr>
        <w:t>POR TODO ELLO, EL HONORABLE CONCEJO DELIBERANTE DE RAMALLO, EN USO DE SUS ATRIBUCIONES, SANCIONA CON FUERZA DE;</w:t>
      </w:r>
    </w:p>
    <w:p w:rsidR="008D7508" w:rsidRDefault="00916815">
      <w:pPr>
        <w:spacing w:before="60" w:after="180"/>
        <w:jc w:val="center"/>
      </w:pPr>
      <w:r>
        <w:rPr>
          <w:b/>
          <w:bCs/>
          <w:sz w:val="26"/>
          <w:szCs w:val="26"/>
        </w:rPr>
        <w:t>O R D E N A N Z A</w:t>
      </w:r>
    </w:p>
    <w:p w:rsidR="008D7508" w:rsidRDefault="00916815">
      <w:pPr>
        <w:spacing w:before="240" w:after="160"/>
        <w:jc w:val="center"/>
      </w:pPr>
      <w:r>
        <w:rPr>
          <w:b/>
          <w:bCs/>
        </w:rPr>
        <w:t>TÍTULO I — DISPOSICIONES GENERALES Y RÉGIMEN DE IDONEIDAD</w:t>
      </w:r>
    </w:p>
    <w:p w:rsidR="008D7508" w:rsidRDefault="00916815">
      <w:pPr>
        <w:spacing w:after="120" w:line="276" w:lineRule="auto"/>
        <w:jc w:val="both"/>
      </w:pPr>
      <w:r>
        <w:rPr>
          <w:b/>
          <w:bCs/>
        </w:rPr>
        <w:t xml:space="preserve">Artículo 1) </w:t>
      </w:r>
      <w:r>
        <w:t>Créase el Régimen de Integridad, Transparencia e Idoneidad para el acceso y permanencia en cargos públicos municipales, con el objeto de promover la transparencia institucional, la ética pública y la confianza de la comunidad en sus instituciones. El prese</w:t>
      </w:r>
      <w:r>
        <w:t>nte régimen comprende tanto las disposiciones de integridad de antecedentes (“Ficha Limpia”) previstas en el Título II, como las disposiciones generales de transparencia previstas en el Título III.</w:t>
      </w:r>
    </w:p>
    <w:p w:rsidR="008D7508" w:rsidRDefault="00916815">
      <w:pPr>
        <w:spacing w:after="120" w:line="276" w:lineRule="auto"/>
        <w:jc w:val="both"/>
      </w:pPr>
      <w:r>
        <w:rPr>
          <w:b/>
          <w:bCs/>
        </w:rPr>
        <w:t xml:space="preserve">Artículo 2) </w:t>
      </w:r>
      <w:r>
        <w:t>El Título II de la presente Ordenanza será apl</w:t>
      </w:r>
      <w:r>
        <w:t xml:space="preserve">icable a todos los funcionarios </w:t>
      </w:r>
      <w:r w:rsidR="0047113A">
        <w:t xml:space="preserve">políticos </w:t>
      </w:r>
      <w:r>
        <w:t xml:space="preserve">de designación del Departamento Ejecutivo Municipal, incluyendo Secretarios, Subsecretarios, Directores, Delegados, autoridades de organismos descentralizados, </w:t>
      </w:r>
      <w:r>
        <w:lastRenderedPageBreak/>
        <w:t>entes autárquicos municipal</w:t>
      </w:r>
      <w:r>
        <w:t>es o empresas con participación municipal y demás cargos de designación política dependientes del Municipio.</w:t>
      </w:r>
    </w:p>
    <w:p w:rsidR="008D7508" w:rsidRDefault="00916815">
      <w:pPr>
        <w:spacing w:after="120" w:line="276" w:lineRule="auto"/>
        <w:jc w:val="both"/>
      </w:pPr>
      <w:r>
        <w:rPr>
          <w:b/>
          <w:bCs/>
        </w:rPr>
        <w:t xml:space="preserve">Artículo 3) </w:t>
      </w:r>
      <w:r w:rsidR="0047113A">
        <w:t>El representante del Poder Ejecutivo y los representantes del Poder Legislativo Municipal podrán adherir,</w:t>
      </w:r>
      <w:r>
        <w:t xml:space="preserve"> sin que ello implique modificación alguna a lo</w:t>
      </w:r>
      <w:r>
        <w:t>s requisitos de elegibilidad establecidos por la Constitución Nacional, la Constitución de la Provincia de Buenos Aires y la</w:t>
      </w:r>
      <w:r w:rsidR="0047113A">
        <w:t xml:space="preserve"> legislación electoral vigente,</w:t>
      </w:r>
      <w:r>
        <w:t xml:space="preserve"> mediante la promulgación de la presente Ordenanza a los principios de integridad y transpare</w:t>
      </w:r>
      <w:r>
        <w:t>ncia aquí establecidos</w:t>
      </w:r>
      <w:r w:rsidR="0047113A">
        <w:t xml:space="preserve">. </w:t>
      </w:r>
      <w:r>
        <w:t>Esta adhesión tiene carácter de compromiso institucional y no constituye, bajo ninguna circunstancia, una causal de inhabilidad, cese o remoción del cargo, cuestiones que quedan reservadas e</w:t>
      </w:r>
      <w:r>
        <w:t>xclusivamente al régimen constitucional y electoral aplicable.</w:t>
      </w:r>
    </w:p>
    <w:p w:rsidR="008D7508" w:rsidRDefault="00916815">
      <w:pPr>
        <w:spacing w:before="240" w:after="160"/>
        <w:jc w:val="center"/>
      </w:pPr>
      <w:r>
        <w:rPr>
          <w:b/>
          <w:bCs/>
        </w:rPr>
        <w:t>TÍTULO II — RÉGIMEN DE IDONEIDAD (“FICHA LIMPIA”)</w:t>
      </w:r>
    </w:p>
    <w:p w:rsidR="008D7508" w:rsidRDefault="00916815">
      <w:pPr>
        <w:spacing w:after="120" w:line="276" w:lineRule="auto"/>
        <w:jc w:val="both"/>
      </w:pPr>
      <w:r>
        <w:rPr>
          <w:b/>
          <w:bCs/>
        </w:rPr>
        <w:t xml:space="preserve">Artículo 4) </w:t>
      </w:r>
      <w:r>
        <w:t>No podrán ser designados ni permanecer en los cargos alcanzados por el artículo 2, quienes registren condena penal por delitos dolo</w:t>
      </w:r>
      <w:r>
        <w:t>sos contra la Administración Pública, u otros delitos expresamente contemplados en la presente Ordenanza, cuando dicha condena haya sido confirmada por un tribunal de segunda instancia y permanezca vigente.</w:t>
      </w:r>
    </w:p>
    <w:p w:rsidR="008D7508" w:rsidRDefault="00916815">
      <w:pPr>
        <w:spacing w:after="120" w:line="276" w:lineRule="auto"/>
        <w:jc w:val="both"/>
      </w:pPr>
      <w:r>
        <w:rPr>
          <w:b/>
          <w:bCs/>
        </w:rPr>
        <w:t xml:space="preserve">Artículo 5) </w:t>
      </w:r>
      <w:r>
        <w:t>Se consideran comprendidos los siguie</w:t>
      </w:r>
      <w:r>
        <w:t>ntes delitos:</w:t>
      </w:r>
    </w:p>
    <w:p w:rsidR="008D7508" w:rsidRDefault="00916815">
      <w:pPr>
        <w:spacing w:after="60" w:line="276" w:lineRule="auto"/>
        <w:ind w:left="567"/>
        <w:jc w:val="both"/>
      </w:pPr>
      <w:r>
        <w:t>a) Cohecho y tráfico de influencias.</w:t>
      </w:r>
    </w:p>
    <w:p w:rsidR="008D7508" w:rsidRDefault="00916815">
      <w:pPr>
        <w:spacing w:after="60" w:line="276" w:lineRule="auto"/>
        <w:ind w:left="567"/>
        <w:jc w:val="both"/>
      </w:pPr>
      <w:r>
        <w:t>b) Malversación de caudales públicos.</w:t>
      </w:r>
    </w:p>
    <w:p w:rsidR="008D7508" w:rsidRDefault="00916815">
      <w:pPr>
        <w:spacing w:after="60" w:line="276" w:lineRule="auto"/>
        <w:ind w:left="567"/>
        <w:jc w:val="both"/>
      </w:pPr>
      <w:r>
        <w:t>c) Fraude en perjuicio de la administración pública.</w:t>
      </w:r>
    </w:p>
    <w:p w:rsidR="008D7508" w:rsidRDefault="00916815">
      <w:pPr>
        <w:spacing w:after="60" w:line="276" w:lineRule="auto"/>
        <w:ind w:left="567"/>
        <w:jc w:val="both"/>
      </w:pPr>
      <w:r>
        <w:t>d) Enriquecimiento ilícito.</w:t>
      </w:r>
    </w:p>
    <w:p w:rsidR="008D7508" w:rsidRDefault="00916815">
      <w:pPr>
        <w:spacing w:after="60" w:line="276" w:lineRule="auto"/>
        <w:ind w:left="567"/>
        <w:jc w:val="both"/>
      </w:pPr>
      <w:r>
        <w:t>e) Negociaciones incompatibles con el ejercicio de la función pública.</w:t>
      </w:r>
    </w:p>
    <w:p w:rsidR="008D7508" w:rsidRDefault="00916815">
      <w:pPr>
        <w:spacing w:after="60" w:line="276" w:lineRule="auto"/>
        <w:ind w:left="567"/>
        <w:jc w:val="both"/>
      </w:pPr>
      <w:r>
        <w:t>f) Exacciones i</w:t>
      </w:r>
      <w:r>
        <w:t>legales.</w:t>
      </w:r>
    </w:p>
    <w:p w:rsidR="008D7508" w:rsidRDefault="00916815">
      <w:pPr>
        <w:spacing w:after="60" w:line="276" w:lineRule="auto"/>
        <w:ind w:left="567"/>
        <w:jc w:val="both"/>
      </w:pPr>
      <w:r>
        <w:t>g) Delitos contra el orden constitucional.</w:t>
      </w:r>
    </w:p>
    <w:p w:rsidR="008D7508" w:rsidRDefault="00916815">
      <w:pPr>
        <w:spacing w:after="60" w:line="276" w:lineRule="auto"/>
        <w:ind w:left="567"/>
        <w:jc w:val="both"/>
      </w:pPr>
      <w:r>
        <w:t>h) Delitos de corrupción previstos</w:t>
      </w:r>
      <w:r w:rsidR="004B287C">
        <w:t xml:space="preserve"> en el Titulo XI del</w:t>
      </w:r>
      <w:r>
        <w:t xml:space="preserve"> Código Penal.</w:t>
      </w:r>
    </w:p>
    <w:p w:rsidR="008D7508" w:rsidRDefault="00916815">
      <w:pPr>
        <w:spacing w:after="60" w:line="276" w:lineRule="auto"/>
        <w:ind w:left="567"/>
        <w:jc w:val="both"/>
      </w:pPr>
      <w:r>
        <w:t>i) Delitos contra la integridad sexual.</w:t>
      </w:r>
    </w:p>
    <w:p w:rsidR="008D7508" w:rsidRDefault="00916815">
      <w:pPr>
        <w:spacing w:after="60" w:line="276" w:lineRule="auto"/>
        <w:ind w:left="567"/>
        <w:jc w:val="both"/>
      </w:pPr>
      <w:r>
        <w:t xml:space="preserve">j) Delitos </w:t>
      </w:r>
      <w:r w:rsidR="004B287C">
        <w:t xml:space="preserve">cometidos en contexto </w:t>
      </w:r>
      <w:r>
        <w:t>de violencia de género, cuando exista condena en los términos de la presente ordenanza.</w:t>
      </w:r>
    </w:p>
    <w:p w:rsidR="008D7508" w:rsidRDefault="00916815">
      <w:pPr>
        <w:spacing w:before="60" w:after="120" w:line="276" w:lineRule="auto"/>
        <w:jc w:val="both"/>
      </w:pPr>
      <w:r>
        <w:rPr>
          <w:b/>
          <w:bCs/>
        </w:rPr>
        <w:t xml:space="preserve">Artículo 6) </w:t>
      </w:r>
      <w:r>
        <w:t>Toda persona alcanzada por el artículo 2 deberá presentar al momento de su designación, con carácter obligatorio, certificado de antecedentes penales vigente expedido por autoridad competente y una declaración jurada manifestando no encontrarse</w:t>
      </w:r>
      <w:r>
        <w:t xml:space="preserve"> comprendida en las incompatibilidades previstas por la presente Ordenanza.</w:t>
      </w:r>
    </w:p>
    <w:p w:rsidR="008D7508" w:rsidRDefault="00916815">
      <w:pPr>
        <w:spacing w:after="120" w:line="276" w:lineRule="auto"/>
        <w:jc w:val="both"/>
      </w:pPr>
      <w:r>
        <w:rPr>
          <w:b/>
          <w:bCs/>
        </w:rPr>
        <w:t xml:space="preserve">Artículo 7) </w:t>
      </w:r>
      <w:r>
        <w:t>La autoridad competente podrá requerir la actualización de dicha documentación durante el ejercicio del cargo, cuando existan razones fundadas para ello.</w:t>
      </w:r>
    </w:p>
    <w:p w:rsidR="008D7508" w:rsidRDefault="00916815">
      <w:pPr>
        <w:spacing w:after="120" w:line="276" w:lineRule="auto"/>
        <w:jc w:val="both"/>
      </w:pPr>
      <w:r>
        <w:rPr>
          <w:b/>
          <w:bCs/>
        </w:rPr>
        <w:t xml:space="preserve">Artículo 8) </w:t>
      </w:r>
      <w:r>
        <w:t>La</w:t>
      </w:r>
      <w:r>
        <w:t xml:space="preserve"> verificación de una causal prevista en el presente Título dará lugar al procedimiento administrativo o institucional correspondiente, para disponer el cese o la </w:t>
      </w:r>
      <w:r>
        <w:lastRenderedPageBreak/>
        <w:t>suspensión en el cargo, garantizando en todos los casos el debido proceso y el derecho de defe</w:t>
      </w:r>
      <w:r>
        <w:t>nsa, brindándose la posibilidad de presentar pruebas y efectuar descargos en un plazo no inferior a diez (10) días hábiles.</w:t>
      </w:r>
    </w:p>
    <w:p w:rsidR="008D7508" w:rsidRDefault="00916815">
      <w:pPr>
        <w:spacing w:after="120" w:line="276" w:lineRule="auto"/>
        <w:jc w:val="both"/>
      </w:pPr>
      <w:r>
        <w:rPr>
          <w:b/>
          <w:bCs/>
        </w:rPr>
        <w:t xml:space="preserve">Artículo 9) </w:t>
      </w:r>
      <w:r>
        <w:t>Comprobada la configuración de una causal de inhabilidad y agotado el procedimiento correspondiente, la autoridad compet</w:t>
      </w:r>
      <w:r>
        <w:t>ente adoptará las medidas administrativas necesarias respecto de la designación o permanencia en el cargo, conforme al ordenamiento jurídico aplicable.</w:t>
      </w:r>
    </w:p>
    <w:p w:rsidR="008D7508" w:rsidRDefault="00916815">
      <w:pPr>
        <w:spacing w:before="240" w:after="120"/>
        <w:jc w:val="center"/>
      </w:pPr>
      <w:r>
        <w:rPr>
          <w:b/>
          <w:bCs/>
        </w:rPr>
        <w:t>TÍTULO III — DISPOSICIONES GENERALES DE TRANSPARENCIA</w:t>
      </w:r>
    </w:p>
    <w:p w:rsidR="008D7508" w:rsidRDefault="00916815">
      <w:pPr>
        <w:spacing w:after="120" w:line="276" w:lineRule="auto"/>
        <w:jc w:val="both"/>
      </w:pPr>
      <w:r>
        <w:t>Las disposiciones del presente Título resultan apl</w:t>
      </w:r>
      <w:r>
        <w:t>icables a la totalidad de los funcionarios comprendido</w:t>
      </w:r>
      <w:r w:rsidR="00167158">
        <w:t xml:space="preserve">s en el artículo 2, así como al Poder Ejecutivo y Legislativo </w:t>
      </w:r>
      <w:r>
        <w:t>en los términos del artículo 3, con el objeto de promover una política integral de transparencia que exceda el solo control de antecedentes penales.</w:t>
      </w:r>
    </w:p>
    <w:p w:rsidR="008D7508" w:rsidRDefault="00916815">
      <w:pPr>
        <w:spacing w:after="120" w:line="276" w:lineRule="auto"/>
        <w:jc w:val="both"/>
      </w:pPr>
      <w:r>
        <w:rPr>
          <w:b/>
          <w:bCs/>
        </w:rPr>
        <w:t xml:space="preserve">Artículo 10) </w:t>
      </w:r>
      <w:r>
        <w:t>Conflicto de intereses. Los funcionarios alcanzados por este Título deberán excusarse de intervenir en cualquier trámite, decisión o contratación municipal en la que posean, ellos o sus parientes dentro del cuarto grado de consanguinidad o seg</w:t>
      </w:r>
      <w:r>
        <w:t>undo de afinidad, un interés personal, económico o profesional directo, debiendo informar dicha circunstancia a su superior jerárquico de manera previa.</w:t>
      </w:r>
    </w:p>
    <w:p w:rsidR="008D7508" w:rsidRDefault="00916815">
      <w:pPr>
        <w:spacing w:after="120" w:line="276" w:lineRule="auto"/>
        <w:jc w:val="both"/>
      </w:pPr>
      <w:r>
        <w:rPr>
          <w:b/>
          <w:bCs/>
        </w:rPr>
        <w:t xml:space="preserve">Artículo 11) </w:t>
      </w:r>
      <w:r>
        <w:t>Régimen de obsequios y atenciones. No podrán recibir, en razón de su cargo, dádivas, obseq</w:t>
      </w:r>
      <w:r>
        <w:t xml:space="preserve">uios o beneficios de personas físicas o jurídicas que mantengan o pretendan mantener relaciones contractuales, de fiscalización o de cualquier otra índole con el Municipio, salvo atenciones protocolares o de cortesía de escaso valor, conforme lo determine </w:t>
      </w:r>
      <w:r>
        <w:t>la reglamentación.</w:t>
      </w:r>
    </w:p>
    <w:p w:rsidR="008D7508" w:rsidRDefault="00916815">
      <w:pPr>
        <w:spacing w:after="120" w:line="276" w:lineRule="auto"/>
        <w:jc w:val="both"/>
      </w:pPr>
      <w:r>
        <w:rPr>
          <w:b/>
          <w:bCs/>
        </w:rPr>
        <w:t>Artículo 12</w:t>
      </w:r>
      <w:r>
        <w:rPr>
          <w:b/>
          <w:bCs/>
        </w:rPr>
        <w:t xml:space="preserve">) </w:t>
      </w:r>
      <w:r>
        <w:t>Articulación con el régimen de acceso a la información pública. Las obligaciones de publicidad de actos de gobierno, acceso a la información pública y tra</w:t>
      </w:r>
      <w:r>
        <w:t>nsparencia activa previstas en el presente Título se integran y articulan con la Ordenanza N° 7256/25 sobre Acceso a la Información Pública y Transparencia Activa en el ámbito del Municipio de Ramallo, o la que en el futuro la reemplace o modifique. En con</w:t>
      </w:r>
      <w:r>
        <w:t xml:space="preserve">secuencia: a) la publicidad de actos de gobierno prevista en el artículo 12 se cumplirá a través del sitio web oficial del Municipio y, en lo pertinente, del Portal Electrónico de Información al Ciudadano creado por la Ordenanza N° 7256/25; b) el acceso a </w:t>
      </w:r>
      <w:r>
        <w:t xml:space="preserve">la información pública previsto en el artículo 13 se regirá por los principios, canales, plazos, excepciones y autoridades de aplicación establecidos en la Ordenanza N° 7256/25; y c) la información atinente a la gestión de los funcionarios comprendidos en </w:t>
      </w:r>
      <w:r>
        <w:t>este Título integrará, en lo que corresponda, el programa de Publicidad Activa instituido por aquella norma. La autoridad de aplicación del presente régimen coordinará con las autoridades de aplicación de la Ordenanza N° 7256/25 a fin de evitar duplicacion</w:t>
      </w:r>
      <w:r>
        <w:t>es y garantizar la coherencia del sistema municipal de integridad y transparencia.</w:t>
      </w:r>
    </w:p>
    <w:p w:rsidR="008D7508" w:rsidRDefault="00916815">
      <w:pPr>
        <w:spacing w:before="240" w:after="160"/>
        <w:jc w:val="center"/>
      </w:pPr>
      <w:r>
        <w:rPr>
          <w:b/>
          <w:bCs/>
        </w:rPr>
        <w:lastRenderedPageBreak/>
        <w:t>TÍTULO IV — DISPOSICIONES COMUNES</w:t>
      </w:r>
    </w:p>
    <w:p w:rsidR="008D7508" w:rsidRDefault="00916815">
      <w:pPr>
        <w:spacing w:after="120" w:line="276" w:lineRule="auto"/>
        <w:jc w:val="both"/>
      </w:pPr>
      <w:r>
        <w:rPr>
          <w:b/>
          <w:bCs/>
        </w:rPr>
        <w:t>Artículo 13</w:t>
      </w:r>
      <w:r>
        <w:rPr>
          <w:b/>
          <w:bCs/>
        </w:rPr>
        <w:t xml:space="preserve">) </w:t>
      </w:r>
      <w:r>
        <w:t>El Departamento Ejecutivo reglamentará la presente Ordenanza dentro de los noventa (90) días corridos contados desde su promul</w:t>
      </w:r>
      <w:r>
        <w:t>gación, estableciendo los procedimientos administrativos necesarios para su aplicación.</w:t>
      </w:r>
    </w:p>
    <w:p w:rsidR="00916815" w:rsidRDefault="00916815">
      <w:pPr>
        <w:spacing w:after="120" w:line="276" w:lineRule="auto"/>
        <w:jc w:val="both"/>
      </w:pPr>
      <w:r>
        <w:rPr>
          <w:rStyle w:val="Textoennegrita"/>
        </w:rPr>
        <w:t xml:space="preserve">Artículo 14) </w:t>
      </w:r>
      <w:r w:rsidRPr="00916815">
        <w:rPr>
          <w:rStyle w:val="Textoennegrita"/>
          <w:b w:val="0"/>
        </w:rPr>
        <w:t>El D</w:t>
      </w:r>
      <w:r w:rsidRPr="00916815">
        <w:rPr>
          <w:rStyle w:val="Textoennegrita"/>
          <w:b w:val="0"/>
        </w:rPr>
        <w:t xml:space="preserve">epartamento Ejecutivo </w:t>
      </w:r>
      <w:r w:rsidRPr="00916815">
        <w:rPr>
          <w:rStyle w:val="Textoennegrita"/>
          <w:b w:val="0"/>
        </w:rPr>
        <w:t>será la</w:t>
      </w:r>
      <w:r w:rsidRPr="00916815">
        <w:rPr>
          <w:rStyle w:val="Textoennegrita"/>
          <w:b w:val="0"/>
        </w:rPr>
        <w:t xml:space="preserve"> autoridad competente</w:t>
      </w:r>
      <w:r>
        <w:t>, con un órgano instructor designado (Secretaría Legal y Técnica o Asesoría Letrada) que sustancie el procedimiento y garantice el descargo, reservando la decisión final al Intendente.</w:t>
      </w:r>
    </w:p>
    <w:p w:rsidR="008D7508" w:rsidRDefault="00916815">
      <w:pPr>
        <w:spacing w:after="120" w:line="276" w:lineRule="auto"/>
        <w:jc w:val="both"/>
      </w:pPr>
      <w:r>
        <w:rPr>
          <w:b/>
          <w:bCs/>
        </w:rPr>
        <w:t>Artículo 15</w:t>
      </w:r>
      <w:r>
        <w:rPr>
          <w:b/>
          <w:bCs/>
        </w:rPr>
        <w:t xml:space="preserve">) </w:t>
      </w:r>
      <w:r>
        <w:t>El Honorable Concejo Deliberante de Ramallo podrá promover las modificaciones que resulten convenientes para optimizar su aplicación y fortalecer los princ</w:t>
      </w:r>
      <w:r>
        <w:t>ipios de transparencia, integridad e idoneidad en la función pública municipal.</w:t>
      </w:r>
    </w:p>
    <w:p w:rsidR="008D7508" w:rsidRDefault="00916815">
      <w:pPr>
        <w:spacing w:after="120" w:line="276" w:lineRule="auto"/>
        <w:jc w:val="both"/>
      </w:pPr>
      <w:r>
        <w:rPr>
          <w:b/>
          <w:bCs/>
        </w:rPr>
        <w:t>Artículo 16</w:t>
      </w:r>
      <w:r>
        <w:rPr>
          <w:b/>
          <w:bCs/>
        </w:rPr>
        <w:t xml:space="preserve">) </w:t>
      </w:r>
      <w:r>
        <w:t xml:space="preserve">Comuníquese al Departamento Ejecutivo Municipal, al Departamento Legal de la Municipalidad de Ramallo, a los Concejos Deliberantes de la Segunda Sección Electoral </w:t>
      </w:r>
      <w:r>
        <w:t>y a los medios locales de comunicación.</w:t>
      </w:r>
    </w:p>
    <w:p w:rsidR="008D7508" w:rsidRDefault="00916815">
      <w:pPr>
        <w:spacing w:after="120" w:line="276" w:lineRule="auto"/>
        <w:jc w:val="both"/>
      </w:pPr>
      <w:r>
        <w:rPr>
          <w:b/>
          <w:bCs/>
        </w:rPr>
        <w:t>Artículo 17</w:t>
      </w:r>
      <w:r>
        <w:rPr>
          <w:b/>
          <w:bCs/>
        </w:rPr>
        <w:t xml:space="preserve">) </w:t>
      </w:r>
      <w:r>
        <w:t>De forma.</w:t>
      </w:r>
      <w:bookmarkStart w:id="0" w:name="_GoBack"/>
      <w:bookmarkEnd w:id="0"/>
    </w:p>
    <w:sectPr w:rsidR="008D750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A3415"/>
    <w:multiLevelType w:val="hybridMultilevel"/>
    <w:tmpl w:val="9FFABED2"/>
    <w:lvl w:ilvl="0" w:tplc="F5D0DAAC">
      <w:start w:val="1"/>
      <w:numFmt w:val="bullet"/>
      <w:lvlText w:val="●"/>
      <w:lvlJc w:val="left"/>
      <w:pPr>
        <w:ind w:left="720" w:hanging="360"/>
      </w:pPr>
    </w:lvl>
    <w:lvl w:ilvl="1" w:tplc="929288B0">
      <w:start w:val="1"/>
      <w:numFmt w:val="bullet"/>
      <w:lvlText w:val="○"/>
      <w:lvlJc w:val="left"/>
      <w:pPr>
        <w:ind w:left="1440" w:hanging="360"/>
      </w:pPr>
    </w:lvl>
    <w:lvl w:ilvl="2" w:tplc="70C813AC">
      <w:start w:val="1"/>
      <w:numFmt w:val="bullet"/>
      <w:lvlText w:val="■"/>
      <w:lvlJc w:val="left"/>
      <w:pPr>
        <w:ind w:left="2160" w:hanging="360"/>
      </w:pPr>
    </w:lvl>
    <w:lvl w:ilvl="3" w:tplc="FEC20832">
      <w:start w:val="1"/>
      <w:numFmt w:val="bullet"/>
      <w:lvlText w:val="●"/>
      <w:lvlJc w:val="left"/>
      <w:pPr>
        <w:ind w:left="2880" w:hanging="360"/>
      </w:pPr>
    </w:lvl>
    <w:lvl w:ilvl="4" w:tplc="AEB26F68">
      <w:start w:val="1"/>
      <w:numFmt w:val="bullet"/>
      <w:lvlText w:val="○"/>
      <w:lvlJc w:val="left"/>
      <w:pPr>
        <w:ind w:left="3600" w:hanging="360"/>
      </w:pPr>
    </w:lvl>
    <w:lvl w:ilvl="5" w:tplc="6EBA642C">
      <w:start w:val="1"/>
      <w:numFmt w:val="bullet"/>
      <w:lvlText w:val="■"/>
      <w:lvlJc w:val="left"/>
      <w:pPr>
        <w:ind w:left="4320" w:hanging="360"/>
      </w:pPr>
    </w:lvl>
    <w:lvl w:ilvl="6" w:tplc="57C6B320">
      <w:start w:val="1"/>
      <w:numFmt w:val="bullet"/>
      <w:lvlText w:val="●"/>
      <w:lvlJc w:val="left"/>
      <w:pPr>
        <w:ind w:left="5040" w:hanging="360"/>
      </w:pPr>
    </w:lvl>
    <w:lvl w:ilvl="7" w:tplc="4A68D1D6">
      <w:start w:val="1"/>
      <w:numFmt w:val="bullet"/>
      <w:lvlText w:val="●"/>
      <w:lvlJc w:val="left"/>
      <w:pPr>
        <w:ind w:left="5760" w:hanging="360"/>
      </w:pPr>
    </w:lvl>
    <w:lvl w:ilvl="8" w:tplc="B07408D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08"/>
    <w:rsid w:val="00167158"/>
    <w:rsid w:val="0047113A"/>
    <w:rsid w:val="004B287C"/>
    <w:rsid w:val="008D7508"/>
    <w:rsid w:val="009168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1629"/>
  <w15:docId w15:val="{D2568F6C-7CA5-4983-95E3-93C1487E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character" w:styleId="Textoennegrita">
    <w:name w:val="Strong"/>
    <w:basedOn w:val="Fuentedeprrafopredeter"/>
    <w:uiPriority w:val="22"/>
    <w:qFormat/>
    <w:rsid w:val="00916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1784</Words>
  <Characters>9816</Characters>
  <Application>Microsoft Office Word</Application>
  <DocSecurity>0</DocSecurity>
  <Lines>81</Lines>
  <Paragraphs>23</Paragraphs>
  <ScaleCrop>false</ScaleCrop>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Florencia Mariel Caletrio</cp:lastModifiedBy>
  <cp:revision>5</cp:revision>
  <dcterms:created xsi:type="dcterms:W3CDTF">2026-06-24T14:26:00Z</dcterms:created>
  <dcterms:modified xsi:type="dcterms:W3CDTF">2026-06-24T14:47:00Z</dcterms:modified>
</cp:coreProperties>
</file>